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2DD2" w:rsidRDefault="001B2DD2">
      <w:pPr>
        <w:ind w:left="680"/>
        <w:jc w:val="right"/>
        <w:rPr>
          <w:b/>
          <w:sz w:val="28"/>
        </w:rPr>
      </w:pPr>
    </w:p>
    <w:p w:rsidR="001B2DD2" w:rsidRDefault="001B2DD2">
      <w:pPr>
        <w:rPr>
          <w:b/>
          <w:sz w:val="28"/>
        </w:rPr>
      </w:pPr>
    </w:p>
    <w:p w:rsidR="001B2DD2" w:rsidRDefault="001B2DD2">
      <w:pPr>
        <w:ind w:left="680"/>
        <w:jc w:val="center"/>
        <w:rPr>
          <w:b/>
          <w:sz w:val="28"/>
        </w:rPr>
      </w:pPr>
    </w:p>
    <w:p w:rsidR="001B2DD2" w:rsidRDefault="001B2DD2">
      <w:pPr>
        <w:ind w:left="680"/>
        <w:jc w:val="center"/>
        <w:rPr>
          <w:b/>
          <w:sz w:val="28"/>
        </w:rPr>
      </w:pPr>
    </w:p>
    <w:p w:rsidR="001B2DD2" w:rsidRDefault="001B2DD2">
      <w:pPr>
        <w:ind w:left="680"/>
        <w:jc w:val="center"/>
        <w:rPr>
          <w:b/>
          <w:sz w:val="28"/>
        </w:rPr>
      </w:pPr>
    </w:p>
    <w:p w:rsidR="001B2DD2" w:rsidRDefault="001B2DD2">
      <w:pPr>
        <w:ind w:left="680"/>
        <w:jc w:val="center"/>
        <w:rPr>
          <w:b/>
          <w:sz w:val="28"/>
        </w:rPr>
      </w:pPr>
    </w:p>
    <w:p w:rsidR="001B2DD2" w:rsidRDefault="001B2DD2">
      <w:pPr>
        <w:ind w:left="680"/>
        <w:jc w:val="center"/>
        <w:rPr>
          <w:b/>
          <w:sz w:val="28"/>
        </w:rPr>
      </w:pPr>
    </w:p>
    <w:p w:rsidR="001B2DD2" w:rsidRDefault="001B2DD2">
      <w:pPr>
        <w:ind w:left="680"/>
        <w:jc w:val="center"/>
        <w:rPr>
          <w:b/>
          <w:sz w:val="28"/>
        </w:rPr>
      </w:pPr>
    </w:p>
    <w:p w:rsidR="001B2DD2" w:rsidRDefault="001B2DD2" w:rsidP="00A05EE8">
      <w:pPr>
        <w:ind w:left="680"/>
        <w:rPr>
          <w:b/>
          <w:sz w:val="28"/>
        </w:rPr>
      </w:pPr>
    </w:p>
    <w:p w:rsidR="001B2DD2" w:rsidRDefault="001B2DD2">
      <w:pPr>
        <w:ind w:left="680"/>
        <w:jc w:val="center"/>
        <w:rPr>
          <w:b/>
          <w:sz w:val="28"/>
        </w:rPr>
      </w:pPr>
    </w:p>
    <w:p w:rsidR="001B2DD2" w:rsidRDefault="001B2DD2">
      <w:pPr>
        <w:rPr>
          <w:b/>
          <w:sz w:val="28"/>
        </w:rPr>
      </w:pPr>
    </w:p>
    <w:p w:rsidR="001B2DD2" w:rsidRDefault="001B2DD2">
      <w:pPr>
        <w:ind w:left="680"/>
        <w:jc w:val="center"/>
        <w:rPr>
          <w:b/>
          <w:sz w:val="28"/>
        </w:rPr>
      </w:pPr>
    </w:p>
    <w:p w:rsidR="001B2DD2" w:rsidRDefault="001B2DD2">
      <w:pPr>
        <w:ind w:left="680"/>
        <w:jc w:val="center"/>
        <w:rPr>
          <w:b/>
          <w:sz w:val="28"/>
        </w:rPr>
      </w:pPr>
    </w:p>
    <w:p w:rsidR="001B2DD2" w:rsidRDefault="006C2C4E">
      <w:pPr>
        <w:pStyle w:val="ConsPlusTitle"/>
        <w:widowControl/>
        <w:jc w:val="center"/>
        <w:rPr>
          <w:sz w:val="28"/>
        </w:rPr>
      </w:pPr>
      <w:r>
        <w:rPr>
          <w:sz w:val="28"/>
        </w:rPr>
        <w:t>Об утверждении Порядка размещения информации о финансовых и нефинансовых активах, об обязательствах Российской Федерации, федеральных государственных бюджетных и автономных учреждений, а также об операциях, их изменяющих, и о полученных финансовых результатах в государственной интегрированной информационной системе управления общественными финансами «Электронный бюджет»</w:t>
      </w:r>
    </w:p>
    <w:p w:rsidR="001B2DD2" w:rsidRDefault="001B2DD2">
      <w:pPr>
        <w:spacing w:line="360" w:lineRule="auto"/>
        <w:rPr>
          <w:sz w:val="28"/>
        </w:rPr>
      </w:pPr>
    </w:p>
    <w:p w:rsidR="001B2DD2" w:rsidRDefault="006C2C4E">
      <w:pPr>
        <w:spacing w:line="360" w:lineRule="auto"/>
        <w:ind w:firstLine="709"/>
        <w:jc w:val="both"/>
        <w:rPr>
          <w:sz w:val="28"/>
        </w:rPr>
      </w:pPr>
      <w:r>
        <w:rPr>
          <w:sz w:val="28"/>
        </w:rPr>
        <w:t>В соответствии со статьей 264</w:t>
      </w:r>
      <w:r>
        <w:rPr>
          <w:sz w:val="28"/>
          <w:vertAlign w:val="superscript"/>
        </w:rPr>
        <w:t>1-1</w:t>
      </w:r>
      <w:r>
        <w:rPr>
          <w:sz w:val="28"/>
        </w:rPr>
        <w:t xml:space="preserve"> Бюджетного кодекса Российской Федерации, подпунктом 5.2.21</w:t>
      </w:r>
      <w:r>
        <w:rPr>
          <w:sz w:val="28"/>
          <w:vertAlign w:val="superscript"/>
        </w:rPr>
        <w:t>10</w:t>
      </w:r>
      <w:r>
        <w:rPr>
          <w:sz w:val="28"/>
        </w:rPr>
        <w:t xml:space="preserve"> пункта 5 Положения о Мини</w:t>
      </w:r>
      <w:r w:rsidR="00A05EE8">
        <w:rPr>
          <w:sz w:val="28"/>
        </w:rPr>
        <w:t>стерстве финансов Российской </w:t>
      </w:r>
      <w:r>
        <w:rPr>
          <w:sz w:val="28"/>
        </w:rPr>
        <w:t>Федерации, утвержденного постановлением Правительства Российской Федерации от 30.06.2004 № 329, п р и к а з ы в а ю:</w:t>
      </w:r>
    </w:p>
    <w:p w:rsidR="001B2DD2" w:rsidRDefault="006C2C4E">
      <w:pPr>
        <w:spacing w:line="360" w:lineRule="auto"/>
        <w:ind w:firstLine="709"/>
        <w:jc w:val="both"/>
        <w:rPr>
          <w:sz w:val="28"/>
        </w:rPr>
      </w:pPr>
      <w:r>
        <w:rPr>
          <w:sz w:val="28"/>
        </w:rPr>
        <w:t>1. Утвердить прилагаемый Порядок размещения информации о финансовых и нефинансовых активах, об обязательствах Российской Федерации, федеральных государственных бюджетных и автономных учреждений, а также об операциях, их изменяющих, и о полученных финансовых результатах в государственной интегрированной информационной системе управления общественными финансами «Электронный бюджет» (далее – система «Электронный бюджет»).</w:t>
      </w:r>
    </w:p>
    <w:p w:rsidR="001B2DD2" w:rsidRDefault="006C2C4E" w:rsidP="00A05EE8">
      <w:pPr>
        <w:spacing w:line="336" w:lineRule="auto"/>
        <w:ind w:firstLine="708"/>
        <w:jc w:val="both"/>
        <w:rPr>
          <w:sz w:val="28"/>
        </w:rPr>
      </w:pPr>
      <w:r>
        <w:rPr>
          <w:sz w:val="28"/>
        </w:rPr>
        <w:t>2. Установить, что размещение</w:t>
      </w:r>
      <w:r>
        <w:t xml:space="preserve"> </w:t>
      </w:r>
      <w:r>
        <w:rPr>
          <w:sz w:val="28"/>
        </w:rPr>
        <w:t>инфо</w:t>
      </w:r>
      <w:r w:rsidR="00A05EE8">
        <w:rPr>
          <w:sz w:val="28"/>
        </w:rPr>
        <w:t>рмации о состоянии финансовых и </w:t>
      </w:r>
      <w:r>
        <w:rPr>
          <w:sz w:val="28"/>
        </w:rPr>
        <w:t>нефинансовых активов и обязательств Р</w:t>
      </w:r>
      <w:r w:rsidR="00A05EE8">
        <w:rPr>
          <w:sz w:val="28"/>
        </w:rPr>
        <w:t>оссийской Федерации, а также об </w:t>
      </w:r>
      <w:r>
        <w:rPr>
          <w:sz w:val="28"/>
        </w:rPr>
        <w:t>операциях, изменяющих указанные активы и обязательства (далее – данные о государственных финансах)</w:t>
      </w:r>
      <w:r>
        <w:rPr>
          <w:rStyle w:val="a4"/>
          <w:sz w:val="28"/>
        </w:rPr>
        <w:footnoteReference w:id="1"/>
      </w:r>
      <w:r>
        <w:rPr>
          <w:sz w:val="28"/>
        </w:rPr>
        <w:t xml:space="preserve"> в системе «Электронный бюджет» осуществляется</w:t>
      </w:r>
      <w:r>
        <w:t xml:space="preserve"> </w:t>
      </w:r>
      <w:r>
        <w:rPr>
          <w:sz w:val="28"/>
        </w:rPr>
        <w:lastRenderedPageBreak/>
        <w:t xml:space="preserve">согласно </w:t>
      </w:r>
      <w:bookmarkStart w:id="0" w:name="_GoBack"/>
      <w:r>
        <w:rPr>
          <w:sz w:val="28"/>
        </w:rPr>
        <w:t>Концепци</w:t>
      </w:r>
      <w:bookmarkEnd w:id="0"/>
      <w:r>
        <w:rPr>
          <w:sz w:val="28"/>
        </w:rPr>
        <w:t>и в подсистеме «Учет и отчетность»</w:t>
      </w:r>
      <w:r>
        <w:rPr>
          <w:rStyle w:val="a4"/>
          <w:sz w:val="28"/>
        </w:rPr>
        <w:footnoteReference w:id="2"/>
      </w:r>
      <w:r>
        <w:rPr>
          <w:sz w:val="28"/>
        </w:rPr>
        <w:t>, оператором которой в том числе является Федеральное казначейство</w:t>
      </w:r>
      <w:r>
        <w:rPr>
          <w:rStyle w:val="a4"/>
          <w:sz w:val="28"/>
        </w:rPr>
        <w:footnoteReference w:id="3"/>
      </w:r>
      <w:r>
        <w:rPr>
          <w:sz w:val="28"/>
        </w:rPr>
        <w:t xml:space="preserve"> (далее – оператор),</w:t>
      </w:r>
      <w:r>
        <w:rPr>
          <w:sz w:val="28"/>
          <w:u w:color="000000"/>
        </w:rPr>
        <w:t xml:space="preserve"> участниками технологической интеграции данных (далее – субъекты интеграции данных)</w:t>
      </w:r>
      <w:r>
        <w:rPr>
          <w:sz w:val="28"/>
          <w:u w:color="000000"/>
          <w:vertAlign w:val="superscript"/>
        </w:rPr>
        <w:footnoteReference w:id="4"/>
      </w:r>
      <w:r>
        <w:rPr>
          <w:sz w:val="28"/>
          <w:u w:color="000000"/>
        </w:rPr>
        <w:t xml:space="preserve"> – организациями бюджетной сферы федерального уровня</w:t>
      </w:r>
      <w:r>
        <w:rPr>
          <w:sz w:val="28"/>
        </w:rPr>
        <w:t>:</w:t>
      </w:r>
    </w:p>
    <w:p w:rsidR="001B2DD2" w:rsidRDefault="006C2C4E" w:rsidP="00A05EE8">
      <w:pPr>
        <w:pStyle w:val="ConsPlusNormal"/>
        <w:widowControl/>
        <w:spacing w:line="336" w:lineRule="auto"/>
        <w:ind w:firstLine="709"/>
        <w:jc w:val="both"/>
        <w:rPr>
          <w:rFonts w:ascii="Times New Roman" w:hAnsi="Times New Roman"/>
          <w:sz w:val="28"/>
        </w:rPr>
      </w:pPr>
      <w:r>
        <w:rPr>
          <w:rFonts w:ascii="Times New Roman" w:hAnsi="Times New Roman"/>
          <w:sz w:val="28"/>
        </w:rPr>
        <w:t>а) в 2025 году – на основании данных бюджетного учета, ведение которого осуществляют Федеральное казначейство, его территориальные органы, федеральное казенное учреждение «Центр по обеспечению деятельности Казначейства России» при осуществлении полномочий по начислению физическим лицам выплат по оплате труда и иных выплат, а также связанных с ними обязательных платежей в бюджеты бюджетной системы Российской Федерации и их перечислению, по ведению бюджетного учета, включая составление и представление бюджетной отчетности (за исключением ведения бюджетного учета операций, осуществляемых в системе казначейских платежей, составления и представления отчетности по операциям системы казначейских платежей), консолидированной отчетности бюджетных и автономных учреждений, иной обязательной отчетности, формируемой на основании данных бюджетного учета, по обеспечению представления такой отчетности в соответствующие государственные (муниципальные) органы</w:t>
      </w:r>
      <w:r>
        <w:rPr>
          <w:rStyle w:val="a4"/>
          <w:rFonts w:ascii="Times New Roman" w:hAnsi="Times New Roman"/>
          <w:sz w:val="28"/>
        </w:rPr>
        <w:footnoteReference w:id="5"/>
      </w:r>
      <w:r>
        <w:rPr>
          <w:rFonts w:ascii="Times New Roman" w:hAnsi="Times New Roman"/>
          <w:sz w:val="28"/>
        </w:rPr>
        <w:t xml:space="preserve"> и данных бухгалтерского учета федеральных государственных бюджетных (автономных) учреждений, в отношении которых функции и полномочия учредителя осуществляет Министерство науки и высшего образования Российской Федерации, по мере организационно-технической го</w:t>
      </w:r>
      <w:r w:rsidR="00E64745">
        <w:rPr>
          <w:rFonts w:ascii="Times New Roman" w:hAnsi="Times New Roman"/>
          <w:sz w:val="28"/>
        </w:rPr>
        <w:t xml:space="preserve">товности указанных учреждений, </w:t>
      </w:r>
      <w:r>
        <w:rPr>
          <w:rFonts w:ascii="Times New Roman" w:hAnsi="Times New Roman"/>
          <w:sz w:val="28"/>
        </w:rPr>
        <w:t>не позднее 26 декабря 2025 года;</w:t>
      </w:r>
    </w:p>
    <w:p w:rsidR="001B2DD2" w:rsidRDefault="006C2C4E" w:rsidP="00A05EE8">
      <w:pPr>
        <w:pStyle w:val="ConsPlusNormal"/>
        <w:widowControl/>
        <w:spacing w:line="336" w:lineRule="auto"/>
        <w:ind w:firstLine="709"/>
        <w:jc w:val="both"/>
        <w:rPr>
          <w:rFonts w:ascii="Times New Roman" w:hAnsi="Times New Roman"/>
          <w:sz w:val="28"/>
        </w:rPr>
      </w:pPr>
      <w:r>
        <w:rPr>
          <w:rFonts w:ascii="Times New Roman" w:hAnsi="Times New Roman"/>
          <w:sz w:val="28"/>
        </w:rPr>
        <w:t>б) в 2026 и 2027 году – на основании данных бюджетного учета субъектов интеграции данных по запросам, сформированным оператором согласно графику размещения данных о государственных финансах</w:t>
      </w:r>
      <w:r w:rsidR="00A05EE8">
        <w:rPr>
          <w:rFonts w:ascii="Times New Roman" w:hAnsi="Times New Roman"/>
          <w:sz w:val="28"/>
        </w:rPr>
        <w:t>, опубликованному оператором на </w:t>
      </w:r>
      <w:r>
        <w:rPr>
          <w:rFonts w:ascii="Times New Roman" w:hAnsi="Times New Roman"/>
          <w:sz w:val="28"/>
        </w:rPr>
        <w:t>его официальном сайте</w:t>
      </w:r>
      <w:r>
        <w:t xml:space="preserve"> </w:t>
      </w:r>
      <w:r>
        <w:rPr>
          <w:rFonts w:ascii="Times New Roman" w:hAnsi="Times New Roman"/>
          <w:sz w:val="28"/>
        </w:rPr>
        <w:t>в инф</w:t>
      </w:r>
      <w:r w:rsidR="00A05EE8">
        <w:rPr>
          <w:rFonts w:ascii="Times New Roman" w:hAnsi="Times New Roman"/>
          <w:sz w:val="28"/>
        </w:rPr>
        <w:t xml:space="preserve">ормационно-телекоммуникационной </w:t>
      </w:r>
      <w:r>
        <w:rPr>
          <w:rFonts w:ascii="Times New Roman" w:hAnsi="Times New Roman"/>
          <w:sz w:val="28"/>
        </w:rPr>
        <w:t>сети</w:t>
      </w:r>
      <w:r w:rsidR="00A05EE8">
        <w:rPr>
          <w:rFonts w:ascii="Times New Roman" w:hAnsi="Times New Roman"/>
          <w:sz w:val="28"/>
        </w:rPr>
        <w:t xml:space="preserve"> </w:t>
      </w:r>
      <w:r>
        <w:rPr>
          <w:rFonts w:ascii="Times New Roman" w:hAnsi="Times New Roman"/>
          <w:sz w:val="28"/>
        </w:rPr>
        <w:t>«Интернет», но не позднее 24 декабря 2026 года и 24 декабря 2027 года соответственно;</w:t>
      </w:r>
    </w:p>
    <w:p w:rsidR="001B2DD2" w:rsidRDefault="006C2C4E">
      <w:pPr>
        <w:pStyle w:val="ConsPlusNormal"/>
        <w:widowControl/>
        <w:spacing w:line="360" w:lineRule="auto"/>
        <w:ind w:firstLine="709"/>
        <w:jc w:val="both"/>
        <w:rPr>
          <w:rFonts w:ascii="Times New Roman" w:hAnsi="Times New Roman"/>
          <w:sz w:val="28"/>
        </w:rPr>
      </w:pPr>
      <w:r>
        <w:rPr>
          <w:rFonts w:ascii="Times New Roman" w:hAnsi="Times New Roman"/>
          <w:sz w:val="28"/>
        </w:rPr>
        <w:lastRenderedPageBreak/>
        <w:t xml:space="preserve">в) начиная с 2028 года на основании данных бюджетного учета всех администраторов средств федерального бюджета, бухгалтерского учета федеральных государственных бюджетных (автономных) учреждений, предоставляемых субъектами интеграции данных. </w:t>
      </w:r>
    </w:p>
    <w:p w:rsidR="001B2DD2" w:rsidRDefault="006C2C4E">
      <w:pPr>
        <w:pStyle w:val="ConsPlusNormal"/>
        <w:widowControl/>
        <w:spacing w:line="360" w:lineRule="auto"/>
        <w:ind w:firstLine="709"/>
        <w:jc w:val="both"/>
        <w:rPr>
          <w:rFonts w:ascii="Times New Roman" w:hAnsi="Times New Roman"/>
          <w:sz w:val="28"/>
        </w:rPr>
      </w:pPr>
      <w:r>
        <w:rPr>
          <w:rFonts w:ascii="Times New Roman" w:hAnsi="Times New Roman"/>
          <w:sz w:val="28"/>
        </w:rPr>
        <w:t>3. Настоящий приказ в части передачи данных о государственных финансах субъектами интеграции данных, осуществляющими свою деятельность за пределами территории Российской Федерации, применяется с 1 января 2029 года.</w:t>
      </w:r>
    </w:p>
    <w:p w:rsidR="001B2DD2" w:rsidRDefault="001B2DD2">
      <w:pPr>
        <w:pStyle w:val="ConsPlusNormal"/>
        <w:widowControl/>
        <w:spacing w:line="360" w:lineRule="auto"/>
        <w:ind w:firstLine="709"/>
        <w:jc w:val="both"/>
        <w:rPr>
          <w:rFonts w:ascii="Times New Roman" w:hAnsi="Times New Roman"/>
          <w:sz w:val="28"/>
        </w:rPr>
      </w:pPr>
    </w:p>
    <w:p w:rsidR="001B2DD2" w:rsidRDefault="001B2DD2">
      <w:pPr>
        <w:pStyle w:val="ConsPlusNormal"/>
        <w:widowControl/>
        <w:spacing w:line="360" w:lineRule="auto"/>
        <w:ind w:firstLine="709"/>
        <w:jc w:val="both"/>
        <w:rPr>
          <w:rFonts w:ascii="Times New Roman" w:hAnsi="Times New Roman"/>
          <w:sz w:val="28"/>
        </w:rPr>
      </w:pPr>
    </w:p>
    <w:p w:rsidR="001B2DD2" w:rsidRDefault="001B2DD2">
      <w:pPr>
        <w:pStyle w:val="ConsPlusNormal"/>
        <w:widowControl/>
        <w:spacing w:line="360" w:lineRule="auto"/>
        <w:jc w:val="both"/>
        <w:rPr>
          <w:rFonts w:ascii="Times New Roman" w:hAnsi="Times New Roman"/>
          <w:sz w:val="28"/>
        </w:rPr>
      </w:pPr>
    </w:p>
    <w:tbl>
      <w:tblPr>
        <w:tblStyle w:val="aff7"/>
        <w:tblW w:w="0" w:type="auto"/>
        <w:tblBorders>
          <w:top w:val="nil"/>
          <w:left w:val="nil"/>
          <w:bottom w:val="nil"/>
          <w:right w:val="nil"/>
          <w:insideH w:val="nil"/>
          <w:insideV w:val="nil"/>
        </w:tblBorders>
        <w:tblLayout w:type="fixed"/>
        <w:tblLook w:val="04A0" w:firstRow="1" w:lastRow="0" w:firstColumn="1" w:lastColumn="0" w:noHBand="0" w:noVBand="1"/>
      </w:tblPr>
      <w:tblGrid>
        <w:gridCol w:w="5097"/>
        <w:gridCol w:w="5098"/>
      </w:tblGrid>
      <w:tr w:rsidR="001B2DD2">
        <w:tc>
          <w:tcPr>
            <w:tcW w:w="5097" w:type="dxa"/>
            <w:tcBorders>
              <w:top w:val="nil"/>
              <w:left w:val="nil"/>
              <w:bottom w:val="nil"/>
              <w:right w:val="nil"/>
            </w:tcBorders>
          </w:tcPr>
          <w:p w:rsidR="001B2DD2" w:rsidRDefault="006C2C4E">
            <w:pPr>
              <w:pStyle w:val="ConsPlusNormal"/>
              <w:widowControl/>
              <w:spacing w:line="276" w:lineRule="auto"/>
              <w:jc w:val="both"/>
              <w:rPr>
                <w:rFonts w:ascii="Times New Roman" w:hAnsi="Times New Roman"/>
                <w:sz w:val="28"/>
              </w:rPr>
            </w:pPr>
            <w:r>
              <w:rPr>
                <w:rFonts w:ascii="Times New Roman" w:hAnsi="Times New Roman"/>
                <w:sz w:val="28"/>
              </w:rPr>
              <w:t>Министр</w:t>
            </w:r>
          </w:p>
        </w:tc>
        <w:tc>
          <w:tcPr>
            <w:tcW w:w="5098" w:type="dxa"/>
            <w:tcBorders>
              <w:top w:val="nil"/>
              <w:left w:val="nil"/>
              <w:bottom w:val="nil"/>
              <w:right w:val="nil"/>
            </w:tcBorders>
            <w:vAlign w:val="bottom"/>
          </w:tcPr>
          <w:p w:rsidR="001B2DD2" w:rsidRDefault="006C2C4E">
            <w:pPr>
              <w:pStyle w:val="ConsPlusNormal"/>
              <w:widowControl/>
              <w:spacing w:line="276" w:lineRule="auto"/>
              <w:jc w:val="right"/>
              <w:rPr>
                <w:rFonts w:ascii="Times New Roman" w:hAnsi="Times New Roman"/>
                <w:sz w:val="28"/>
              </w:rPr>
            </w:pPr>
            <w:r>
              <w:rPr>
                <w:rFonts w:ascii="Times New Roman" w:hAnsi="Times New Roman"/>
                <w:sz w:val="28"/>
              </w:rPr>
              <w:t>А.Г. Силуанов</w:t>
            </w:r>
          </w:p>
        </w:tc>
      </w:tr>
    </w:tbl>
    <w:p w:rsidR="001B2DD2" w:rsidRDefault="001B2DD2">
      <w:pPr>
        <w:rPr>
          <w:sz w:val="28"/>
        </w:rPr>
      </w:pPr>
    </w:p>
    <w:p w:rsidR="001B2DD2" w:rsidRDefault="001B2DD2">
      <w:pPr>
        <w:rPr>
          <w:sz w:val="28"/>
        </w:rPr>
      </w:pPr>
    </w:p>
    <w:sectPr w:rsidR="001B2DD2">
      <w:headerReference w:type="even" r:id="rId6"/>
      <w:headerReference w:type="default" r:id="rId7"/>
      <w:headerReference w:type="first" r:id="rId8"/>
      <w:type w:val="continuous"/>
      <w:pgSz w:w="11906" w:h="16838"/>
      <w:pgMar w:top="1418" w:right="567" w:bottom="568" w:left="1134"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4E29" w:rsidRDefault="00CD4E29">
      <w:r>
        <w:separator/>
      </w:r>
    </w:p>
  </w:endnote>
  <w:endnote w:type="continuationSeparator" w:id="0">
    <w:p w:rsidR="00CD4E29" w:rsidRDefault="00CD4E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XO Thames">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4E29" w:rsidRDefault="00CD4E29">
      <w:r>
        <w:separator/>
      </w:r>
    </w:p>
  </w:footnote>
  <w:footnote w:type="continuationSeparator" w:id="0">
    <w:p w:rsidR="00CD4E29" w:rsidRDefault="00CD4E29">
      <w:r>
        <w:continuationSeparator/>
      </w:r>
    </w:p>
  </w:footnote>
  <w:footnote w:id="1">
    <w:p w:rsidR="001B2DD2" w:rsidRDefault="006C2C4E">
      <w:pPr>
        <w:pStyle w:val="Footnote"/>
        <w:jc w:val="both"/>
        <w:rPr>
          <w:sz w:val="18"/>
        </w:rPr>
      </w:pPr>
      <w:r>
        <w:rPr>
          <w:sz w:val="18"/>
          <w:vertAlign w:val="superscript"/>
        </w:rPr>
        <w:footnoteRef/>
      </w:r>
      <w:r w:rsidR="0087002E">
        <w:rPr>
          <w:sz w:val="18"/>
        </w:rPr>
        <w:t xml:space="preserve"> Абзац второй раздела II</w:t>
      </w:r>
      <w:r>
        <w:rPr>
          <w:sz w:val="18"/>
        </w:rPr>
        <w:t xml:space="preserve"> Концепции технологической интеграции данных бухгалтерского учета организаций бюджетной сферы федерального уровня на единой технологической платформе государственной интегрированной информационной системы управления общественными финансами «Электронный бюджет», утвержденной распоряжением Правительства Российской Федерации от 20 июня 2024 г. № 1569-р (далее – Концепция).</w:t>
      </w:r>
    </w:p>
  </w:footnote>
  <w:footnote w:id="2">
    <w:p w:rsidR="001B2DD2" w:rsidRDefault="006C2C4E">
      <w:pPr>
        <w:pStyle w:val="Footnote"/>
        <w:jc w:val="both"/>
        <w:rPr>
          <w:sz w:val="18"/>
        </w:rPr>
      </w:pPr>
      <w:r>
        <w:rPr>
          <w:sz w:val="18"/>
          <w:vertAlign w:val="superscript"/>
        </w:rPr>
        <w:footnoteRef/>
      </w:r>
      <w:r>
        <w:rPr>
          <w:sz w:val="18"/>
        </w:rPr>
        <w:t xml:space="preserve"> Подпункт «л» пункта 6 Положения о государственной интегрированной информационной системе управления общественными финансами «Электронный бюджет», утвержденного постановлением Правительства Российской Федерации от 30 июня 2015 г. № 658 (далее – Положение).</w:t>
      </w:r>
    </w:p>
  </w:footnote>
  <w:footnote w:id="3">
    <w:p w:rsidR="001B2DD2" w:rsidRDefault="006C2C4E">
      <w:pPr>
        <w:pStyle w:val="Footnote"/>
        <w:jc w:val="both"/>
      </w:pPr>
      <w:r>
        <w:rPr>
          <w:vertAlign w:val="superscript"/>
        </w:rPr>
        <w:footnoteRef/>
      </w:r>
      <w:r>
        <w:rPr>
          <w:sz w:val="18"/>
        </w:rPr>
        <w:t xml:space="preserve"> Пункт 19 Положения.</w:t>
      </w:r>
    </w:p>
  </w:footnote>
  <w:footnote w:id="4">
    <w:p w:rsidR="001B2DD2" w:rsidRDefault="006C2C4E">
      <w:pPr>
        <w:pStyle w:val="Footnote"/>
        <w:jc w:val="both"/>
        <w:rPr>
          <w:sz w:val="18"/>
        </w:rPr>
      </w:pPr>
      <w:r>
        <w:rPr>
          <w:sz w:val="18"/>
          <w:vertAlign w:val="superscript"/>
        </w:rPr>
        <w:footnoteRef/>
      </w:r>
      <w:r w:rsidR="0087002E">
        <w:rPr>
          <w:sz w:val="18"/>
        </w:rPr>
        <w:t xml:space="preserve"> Абзац первый раздела IV</w:t>
      </w:r>
      <w:r>
        <w:rPr>
          <w:sz w:val="18"/>
        </w:rPr>
        <w:t xml:space="preserve"> Концепции.</w:t>
      </w:r>
    </w:p>
  </w:footnote>
  <w:footnote w:id="5">
    <w:p w:rsidR="001B2DD2" w:rsidRDefault="006C2C4E">
      <w:pPr>
        <w:pStyle w:val="Footnote"/>
      </w:pPr>
      <w:r>
        <w:rPr>
          <w:vertAlign w:val="superscript"/>
        </w:rPr>
        <w:footnoteRef/>
      </w:r>
      <w:r>
        <w:rPr>
          <w:sz w:val="18"/>
        </w:rPr>
        <w:t xml:space="preserve"> Постановление Правительства Российской Федерации от 15 февраля 2020 года № 153 «О передаче Федеральному казначейству полномочий отдельных федеральных органов исполнительной власти, их территориальных органов и подведомственных им казенных учреждений».</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2DD2" w:rsidRDefault="006C2C4E">
    <w:pPr>
      <w:pStyle w:val="af6"/>
    </w:pPr>
    <w:r>
      <w:rPr>
        <w:noProof/>
      </w:rPr>
      <mc:AlternateContent>
        <mc:Choice Requires="wps">
          <w:drawing>
            <wp:anchor distT="0" distB="0" distL="0" distR="0" simplePos="0" relativeHeight="251658240" behindDoc="0" locked="0" layoutInCell="1" allowOverlap="1">
              <wp:simplePos x="0" y="0"/>
              <wp:positionH relativeFrom="margin">
                <wp:align>center</wp:align>
              </wp:positionH>
              <wp:positionV relativeFrom="paragraph">
                <wp:posOffset>635</wp:posOffset>
              </wp:positionV>
              <wp:extent cx="152400" cy="0"/>
              <wp:effectExtent l="0" t="0" r="0" b="0"/>
              <wp:wrapSquare wrapText="bothSides" distT="0" distB="0" distL="0" distR="0"/>
              <wp:docPr id="1" name="Picture 1"/>
              <wp:cNvGraphicFramePr/>
              <a:graphic xmlns:a="http://schemas.openxmlformats.org/drawingml/2006/main">
                <a:graphicData uri="http://schemas.microsoft.com/office/word/2010/wordprocessingShape">
                  <wps:wsp>
                    <wps:cNvSpPr txBox="1"/>
                    <wps:spPr>
                      <a:xfrm>
                        <a:off x="0" y="0"/>
                        <a:ext cx="152400" cy="0"/>
                      </a:xfrm>
                      <a:prstGeom prst="rect">
                        <a:avLst/>
                      </a:prstGeom>
                    </wps:spPr>
                    <wps:txbx>
                      <w:txbxContent>
                        <w:p w:rsidR="001B2DD2" w:rsidRDefault="006C2C4E">
                          <w:pPr>
                            <w:pStyle w:val="af6"/>
                            <w:rPr>
                              <w:rStyle w:val="af5"/>
                            </w:rPr>
                          </w:pPr>
                          <w:r>
                            <w:rPr>
                              <w:rStyle w:val="af5"/>
                            </w:rPr>
                            <w:fldChar w:fldCharType="begin"/>
                          </w:r>
                          <w:r>
                            <w:rPr>
                              <w:rStyle w:val="af5"/>
                            </w:rPr>
                            <w:instrText xml:space="preserve">PAGE </w:instrText>
                          </w:r>
                          <w:r>
                            <w:rPr>
                              <w:rStyle w:val="af5"/>
                            </w:rPr>
                            <w:fldChar w:fldCharType="separate"/>
                          </w:r>
                          <w:r>
                            <w:rPr>
                              <w:rStyle w:val="af5"/>
                            </w:rPr>
                            <w:t xml:space="preserve"> </w:t>
                          </w:r>
                          <w:r>
                            <w:rPr>
                              <w:rStyle w:val="af5"/>
                            </w:rPr>
                            <w:fldChar w:fldCharType="end"/>
                          </w:r>
                        </w:p>
                      </w:txbxContent>
                    </wps:txbx>
                    <wps:bodyPr vert="horz" wrap="square" lIns="0" tIns="0" rIns="0" bIns="0" anchor="t">
                      <a:spAutoFit/>
                    </wps:bodyPr>
                  </wps:wsp>
                </a:graphicData>
              </a:graphic>
            </wp:anchor>
          </w:drawing>
        </mc:Choice>
        <mc:Fallback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p="http://schemas.openxmlformats.org/presentationml/2006/main" xmlns:pic="http://schemas.openxmlformats.org/drawingml/2006/picture" xmlns:s="http://schemas.openxmlformats.org/officeDocument/2006/sharedTypes" xmlns:sl="http://schemas.openxmlformats.org/schemaLibrary/2006/main" xmlns:x="urn:schemas-microsoft-com:office:excel" xmlns:x12ac="http://schemas.microsoft.com/office/spreadsheetml/2011/1/ac" xmlns:x14="http://schemas.microsoft.com/office/spreadsheetml/2009/9/main" xmlns:xdr="http://schemas.openxmlformats.org/drawingml/2006/spreadsheetDrawing" xmlns:xm="http://schemas.microsoft.com/office/excel/2006/main">
          <w:pic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2DD2" w:rsidRDefault="006C2C4E">
    <w:pPr>
      <w:pStyle w:val="af6"/>
      <w:jc w:val="center"/>
    </w:pPr>
    <w:r>
      <w:fldChar w:fldCharType="begin"/>
    </w:r>
    <w:r>
      <w:instrText xml:space="preserve">PAGE </w:instrText>
    </w:r>
    <w:r>
      <w:fldChar w:fldCharType="separate"/>
    </w:r>
    <w:r w:rsidR="0087002E">
      <w:rPr>
        <w:noProof/>
      </w:rPr>
      <w:t>2</w:t>
    </w:r>
    <w:r>
      <w:fldChar w:fldCharType="end"/>
    </w:r>
  </w:p>
  <w:p w:rsidR="001B2DD2" w:rsidRDefault="001B2DD2">
    <w:pPr>
      <w:pStyle w:val="af6"/>
      <w:spacing w:after="240"/>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2DD2" w:rsidRDefault="001B2DD2">
    <w:pPr>
      <w:pStyle w:val="af6"/>
      <w:jc w:val="center"/>
    </w:pPr>
  </w:p>
  <w:p w:rsidR="001B2DD2" w:rsidRDefault="001B2DD2">
    <w:pPr>
      <w:pStyle w:val="af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2DD2"/>
    <w:rsid w:val="001B2DD2"/>
    <w:rsid w:val="006C2C4E"/>
    <w:rsid w:val="0087002E"/>
    <w:rsid w:val="00A05EE8"/>
    <w:rsid w:val="00CD4E29"/>
    <w:rsid w:val="00E647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A34458"/>
  <w15:docId w15:val="{51EDE773-0DAF-43C8-8FBD-FDD9DE66B5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color w:val="000000"/>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link w:val="1"/>
    <w:qFormat/>
    <w:rPr>
      <w:sz w:val="24"/>
    </w:rPr>
  </w:style>
  <w:style w:type="paragraph" w:styleId="10">
    <w:name w:val="heading 1"/>
    <w:basedOn w:val="a"/>
    <w:next w:val="a"/>
    <w:link w:val="11"/>
    <w:uiPriority w:val="9"/>
    <w:qFormat/>
    <w:pPr>
      <w:widowControl w:val="0"/>
      <w:spacing w:before="108" w:after="108"/>
      <w:jc w:val="center"/>
      <w:outlineLvl w:val="0"/>
    </w:pPr>
    <w:rPr>
      <w:rFonts w:ascii="Arial" w:hAnsi="Arial"/>
      <w:b/>
      <w:color w:val="26282F"/>
      <w:sz w:val="26"/>
    </w:rPr>
  </w:style>
  <w:style w:type="paragraph" w:styleId="2">
    <w:name w:val="heading 2"/>
    <w:next w:val="a"/>
    <w:link w:val="20"/>
    <w:uiPriority w:val="9"/>
    <w:qFormat/>
    <w:pPr>
      <w:spacing w:before="120" w:after="120"/>
      <w:jc w:val="both"/>
      <w:outlineLvl w:val="1"/>
    </w:pPr>
    <w:rPr>
      <w:rFonts w:ascii="XO Thames" w:hAnsi="XO Thames"/>
      <w:b/>
      <w:sz w:val="28"/>
    </w:rPr>
  </w:style>
  <w:style w:type="paragraph" w:styleId="3">
    <w:name w:val="heading 3"/>
    <w:next w:val="a"/>
    <w:link w:val="30"/>
    <w:uiPriority w:val="9"/>
    <w:qFormat/>
    <w:pPr>
      <w:spacing w:before="120" w:after="120"/>
      <w:jc w:val="both"/>
      <w:outlineLvl w:val="2"/>
    </w:pPr>
    <w:rPr>
      <w:rFonts w:ascii="XO Thames" w:hAnsi="XO Thames"/>
      <w:b/>
      <w:sz w:val="26"/>
    </w:rPr>
  </w:style>
  <w:style w:type="paragraph" w:styleId="4">
    <w:name w:val="heading 4"/>
    <w:next w:val="a"/>
    <w:link w:val="40"/>
    <w:uiPriority w:val="9"/>
    <w:qFormat/>
    <w:pPr>
      <w:spacing w:before="120" w:after="120"/>
      <w:jc w:val="both"/>
      <w:outlineLvl w:val="3"/>
    </w:pPr>
    <w:rPr>
      <w:rFonts w:ascii="XO Thames" w:hAnsi="XO Thames"/>
      <w:b/>
      <w:sz w:val="24"/>
    </w:rPr>
  </w:style>
  <w:style w:type="paragraph" w:styleId="5">
    <w:name w:val="heading 5"/>
    <w:next w:val="a"/>
    <w:link w:val="50"/>
    <w:uiPriority w:val="9"/>
    <w:qFormat/>
    <w:pPr>
      <w:spacing w:before="120" w:after="120"/>
      <w:jc w:val="both"/>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sz w:val="24"/>
    </w:rPr>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customStyle="1" w:styleId="12">
    <w:name w:val="Знак концевой сноски1"/>
    <w:link w:val="a3"/>
    <w:rPr>
      <w:vertAlign w:val="superscript"/>
    </w:rPr>
  </w:style>
  <w:style w:type="character" w:styleId="a3">
    <w:name w:val="endnote reference"/>
    <w:link w:val="12"/>
    <w:rPr>
      <w:vertAlign w:val="superscript"/>
    </w:rPr>
  </w:style>
  <w:style w:type="paragraph" w:customStyle="1" w:styleId="13">
    <w:name w:val="Знак примечания1"/>
    <w:link w:val="14"/>
    <w:rPr>
      <w:sz w:val="16"/>
    </w:rPr>
  </w:style>
  <w:style w:type="character" w:customStyle="1" w:styleId="14">
    <w:name w:val="Знак примечания1"/>
    <w:link w:val="13"/>
    <w:rPr>
      <w:sz w:val="16"/>
    </w:rPr>
  </w:style>
  <w:style w:type="paragraph" w:customStyle="1" w:styleId="15">
    <w:name w:val="Знак сноски1"/>
    <w:link w:val="a4"/>
    <w:rPr>
      <w:vertAlign w:val="superscript"/>
    </w:rPr>
  </w:style>
  <w:style w:type="character" w:styleId="a4">
    <w:name w:val="footnote reference"/>
    <w:link w:val="15"/>
    <w:rPr>
      <w:vertAlign w:val="superscript"/>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customStyle="1" w:styleId="WW8Num1z0">
    <w:name w:val="WW8Num1z0"/>
    <w:link w:val="WW8Num1z00"/>
    <w:rPr>
      <w:rFonts w:ascii="Symbol" w:hAnsi="Symbol"/>
    </w:rPr>
  </w:style>
  <w:style w:type="character" w:customStyle="1" w:styleId="WW8Num1z00">
    <w:name w:val="WW8Num1z0"/>
    <w:link w:val="WW8Num1z0"/>
    <w:rPr>
      <w:rFonts w:ascii="Symbol" w:hAnsi="Symbol"/>
    </w:rPr>
  </w:style>
  <w:style w:type="paragraph" w:styleId="6">
    <w:name w:val="toc 6"/>
    <w:next w:val="a"/>
    <w:link w:val="60"/>
    <w:uiPriority w:val="39"/>
    <w:pPr>
      <w:ind w:left="1000"/>
    </w:pPr>
    <w:rPr>
      <w:rFonts w:ascii="XO Thames" w:hAnsi="XO Thames"/>
      <w:sz w:val="28"/>
    </w:rPr>
  </w:style>
  <w:style w:type="character" w:customStyle="1" w:styleId="60">
    <w:name w:val="Оглавление 6 Знак"/>
    <w:link w:val="6"/>
    <w:rPr>
      <w:rFonts w:ascii="XO Thames" w:hAnsi="XO Thames"/>
      <w:sz w:val="28"/>
    </w:rPr>
  </w:style>
  <w:style w:type="paragraph" w:customStyle="1" w:styleId="ConsPlusNormal">
    <w:name w:val="ConsPlusNormal"/>
    <w:link w:val="ConsPlusNormal0"/>
    <w:pPr>
      <w:widowControl w:val="0"/>
    </w:pPr>
    <w:rPr>
      <w:rFonts w:ascii="Calibri" w:hAnsi="Calibri"/>
      <w:sz w:val="22"/>
    </w:rPr>
  </w:style>
  <w:style w:type="character" w:customStyle="1" w:styleId="ConsPlusNormal0">
    <w:name w:val="ConsPlusNormal"/>
    <w:link w:val="ConsPlusNormal"/>
    <w:rPr>
      <w:rFonts w:ascii="Calibri" w:hAnsi="Calibri"/>
      <w:sz w:val="22"/>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customStyle="1" w:styleId="Absatz-Standardschriftart">
    <w:name w:val="Absatz-Standardschriftart"/>
    <w:link w:val="Absatz-Standardschriftart0"/>
  </w:style>
  <w:style w:type="character" w:customStyle="1" w:styleId="Absatz-Standardschriftart0">
    <w:name w:val="Absatz-Standardschriftart"/>
    <w:link w:val="Absatz-Standardschriftart"/>
  </w:style>
  <w:style w:type="paragraph" w:customStyle="1" w:styleId="WW8Num1z2">
    <w:name w:val="WW8Num1z2"/>
    <w:link w:val="WW8Num1z20"/>
    <w:rPr>
      <w:rFonts w:ascii="Wingdings" w:hAnsi="Wingdings"/>
    </w:rPr>
  </w:style>
  <w:style w:type="character" w:customStyle="1" w:styleId="WW8Num1z20">
    <w:name w:val="WW8Num1z2"/>
    <w:link w:val="WW8Num1z2"/>
    <w:rPr>
      <w:rFonts w:ascii="Wingdings" w:hAnsi="Wingdings"/>
    </w:rPr>
  </w:style>
  <w:style w:type="paragraph" w:styleId="a5">
    <w:name w:val="Balloon Text"/>
    <w:basedOn w:val="a"/>
    <w:link w:val="a6"/>
    <w:rPr>
      <w:rFonts w:ascii="Tahoma" w:hAnsi="Tahoma"/>
      <w:sz w:val="16"/>
    </w:rPr>
  </w:style>
  <w:style w:type="character" w:customStyle="1" w:styleId="a6">
    <w:name w:val="Текст выноски Знак"/>
    <w:basedOn w:val="1"/>
    <w:link w:val="a5"/>
    <w:rPr>
      <w:rFonts w:ascii="Tahoma" w:hAnsi="Tahoma"/>
      <w:sz w:val="16"/>
    </w:rPr>
  </w:style>
  <w:style w:type="paragraph" w:styleId="a7">
    <w:name w:val="annotation text"/>
    <w:basedOn w:val="a"/>
    <w:link w:val="a8"/>
    <w:rPr>
      <w:sz w:val="20"/>
    </w:rPr>
  </w:style>
  <w:style w:type="character" w:customStyle="1" w:styleId="a8">
    <w:name w:val="Текст примечания Знак"/>
    <w:basedOn w:val="1"/>
    <w:link w:val="a7"/>
    <w:rPr>
      <w:sz w:val="20"/>
    </w:rPr>
  </w:style>
  <w:style w:type="paragraph" w:customStyle="1" w:styleId="Endnote">
    <w:name w:val="Endnote"/>
    <w:basedOn w:val="a"/>
    <w:link w:val="Endnote0"/>
    <w:rPr>
      <w:sz w:val="20"/>
    </w:rPr>
  </w:style>
  <w:style w:type="character" w:customStyle="1" w:styleId="Endnote0">
    <w:name w:val="Endnote"/>
    <w:basedOn w:val="1"/>
    <w:link w:val="Endnote"/>
    <w:rPr>
      <w:sz w:val="20"/>
    </w:rPr>
  </w:style>
  <w:style w:type="character" w:customStyle="1" w:styleId="30">
    <w:name w:val="Заголовок 3 Знак"/>
    <w:link w:val="3"/>
    <w:rPr>
      <w:rFonts w:ascii="XO Thames" w:hAnsi="XO Thames"/>
      <w:b/>
      <w:sz w:val="26"/>
    </w:rPr>
  </w:style>
  <w:style w:type="paragraph" w:customStyle="1" w:styleId="WW8Num1z1">
    <w:name w:val="WW8Num1z1"/>
    <w:link w:val="WW8Num1z10"/>
    <w:rPr>
      <w:rFonts w:ascii="Courier New" w:hAnsi="Courier New"/>
    </w:rPr>
  </w:style>
  <w:style w:type="character" w:customStyle="1" w:styleId="WW8Num1z10">
    <w:name w:val="WW8Num1z1"/>
    <w:link w:val="WW8Num1z1"/>
    <w:rPr>
      <w:rFonts w:ascii="Courier New" w:hAnsi="Courier New"/>
    </w:rPr>
  </w:style>
  <w:style w:type="paragraph" w:customStyle="1" w:styleId="a9">
    <w:link w:val="aa"/>
    <w:semiHidden/>
    <w:unhideWhenUsed/>
    <w:rPr>
      <w:sz w:val="24"/>
    </w:rPr>
  </w:style>
  <w:style w:type="character" w:customStyle="1" w:styleId="aa">
    <w:link w:val="a9"/>
    <w:semiHidden/>
    <w:unhideWhenUsed/>
    <w:rPr>
      <w:sz w:val="24"/>
    </w:rPr>
  </w:style>
  <w:style w:type="paragraph" w:customStyle="1" w:styleId="ab">
    <w:name w:val="Содержимое врезки"/>
    <w:basedOn w:val="ac"/>
    <w:link w:val="ad"/>
  </w:style>
  <w:style w:type="character" w:customStyle="1" w:styleId="ad">
    <w:name w:val="Содержимое врезки"/>
    <w:basedOn w:val="ae"/>
    <w:link w:val="ab"/>
    <w:rPr>
      <w:sz w:val="24"/>
    </w:rPr>
  </w:style>
  <w:style w:type="paragraph" w:customStyle="1" w:styleId="16">
    <w:name w:val="Выделение1"/>
    <w:basedOn w:val="23"/>
    <w:link w:val="af"/>
    <w:rPr>
      <w:i/>
    </w:rPr>
  </w:style>
  <w:style w:type="character" w:styleId="af">
    <w:name w:val="Emphasis"/>
    <w:basedOn w:val="a0"/>
    <w:link w:val="16"/>
    <w:rPr>
      <w:i/>
    </w:rPr>
  </w:style>
  <w:style w:type="paragraph" w:customStyle="1" w:styleId="ConsPlusTitle">
    <w:name w:val="ConsPlusTitle"/>
    <w:link w:val="ConsPlusTitle0"/>
    <w:pPr>
      <w:widowControl w:val="0"/>
    </w:pPr>
    <w:rPr>
      <w:b/>
      <w:sz w:val="24"/>
    </w:rPr>
  </w:style>
  <w:style w:type="character" w:customStyle="1" w:styleId="ConsPlusTitle0">
    <w:name w:val="ConsPlusTitle"/>
    <w:link w:val="ConsPlusTitle"/>
    <w:rPr>
      <w:b/>
      <w:sz w:val="24"/>
    </w:rPr>
  </w:style>
  <w:style w:type="paragraph" w:styleId="af0">
    <w:name w:val="footer"/>
    <w:basedOn w:val="a"/>
    <w:link w:val="af1"/>
    <w:pPr>
      <w:tabs>
        <w:tab w:val="center" w:pos="4677"/>
        <w:tab w:val="right" w:pos="9355"/>
      </w:tabs>
    </w:pPr>
  </w:style>
  <w:style w:type="character" w:customStyle="1" w:styleId="af1">
    <w:name w:val="Нижний колонтитул Знак"/>
    <w:basedOn w:val="1"/>
    <w:link w:val="af0"/>
    <w:rPr>
      <w:sz w:val="24"/>
    </w:rPr>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paragraph" w:customStyle="1" w:styleId="17">
    <w:name w:val="Текст примечания1"/>
    <w:basedOn w:val="a"/>
    <w:link w:val="18"/>
    <w:pPr>
      <w:widowControl w:val="0"/>
      <w:spacing w:line="360" w:lineRule="atLeast"/>
      <w:jc w:val="both"/>
    </w:pPr>
    <w:rPr>
      <w:sz w:val="20"/>
    </w:rPr>
  </w:style>
  <w:style w:type="character" w:customStyle="1" w:styleId="18">
    <w:name w:val="Текст примечания1"/>
    <w:basedOn w:val="1"/>
    <w:link w:val="17"/>
    <w:rPr>
      <w:sz w:val="20"/>
    </w:rPr>
  </w:style>
  <w:style w:type="paragraph" w:styleId="af2">
    <w:name w:val="annotation subject"/>
    <w:basedOn w:val="a7"/>
    <w:next w:val="a7"/>
    <w:link w:val="af3"/>
    <w:rPr>
      <w:b/>
    </w:rPr>
  </w:style>
  <w:style w:type="character" w:customStyle="1" w:styleId="af3">
    <w:name w:val="Тема примечания Знак"/>
    <w:basedOn w:val="a8"/>
    <w:link w:val="af2"/>
    <w:rPr>
      <w:b/>
      <w:sz w:val="20"/>
    </w:rPr>
  </w:style>
  <w:style w:type="paragraph" w:customStyle="1" w:styleId="24">
    <w:name w:val="Знак примечания2"/>
    <w:basedOn w:val="23"/>
    <w:link w:val="af4"/>
    <w:rPr>
      <w:sz w:val="16"/>
    </w:rPr>
  </w:style>
  <w:style w:type="character" w:styleId="af4">
    <w:name w:val="annotation reference"/>
    <w:basedOn w:val="a0"/>
    <w:link w:val="24"/>
    <w:rPr>
      <w:sz w:val="16"/>
    </w:rPr>
  </w:style>
  <w:style w:type="paragraph" w:customStyle="1" w:styleId="19">
    <w:name w:val="Номер страницы1"/>
    <w:basedOn w:val="1a"/>
    <w:link w:val="af5"/>
  </w:style>
  <w:style w:type="character" w:styleId="af5">
    <w:name w:val="page number"/>
    <w:basedOn w:val="1b"/>
    <w:link w:val="19"/>
  </w:style>
  <w:style w:type="paragraph" w:styleId="af6">
    <w:name w:val="header"/>
    <w:basedOn w:val="a"/>
    <w:link w:val="af7"/>
    <w:pPr>
      <w:tabs>
        <w:tab w:val="center" w:pos="4819"/>
        <w:tab w:val="right" w:pos="9638"/>
      </w:tabs>
    </w:pPr>
  </w:style>
  <w:style w:type="character" w:customStyle="1" w:styleId="af7">
    <w:name w:val="Верхний колонтитул Знак"/>
    <w:basedOn w:val="1"/>
    <w:link w:val="af6"/>
    <w:rPr>
      <w:sz w:val="24"/>
    </w:rPr>
  </w:style>
  <w:style w:type="paragraph" w:customStyle="1" w:styleId="af8">
    <w:name w:val="Таблицы (моноширинный)"/>
    <w:basedOn w:val="a"/>
    <w:next w:val="a"/>
    <w:link w:val="af9"/>
    <w:pPr>
      <w:widowControl w:val="0"/>
      <w:spacing w:line="360" w:lineRule="atLeast"/>
      <w:jc w:val="both"/>
    </w:pPr>
    <w:rPr>
      <w:rFonts w:ascii="Courier New" w:hAnsi="Courier New"/>
      <w:sz w:val="28"/>
    </w:rPr>
  </w:style>
  <w:style w:type="character" w:customStyle="1" w:styleId="af9">
    <w:name w:val="Таблицы (моноширинный)"/>
    <w:basedOn w:val="1"/>
    <w:link w:val="af8"/>
    <w:rPr>
      <w:rFonts w:ascii="Courier New" w:hAnsi="Courier New"/>
      <w:sz w:val="28"/>
    </w:rPr>
  </w:style>
  <w:style w:type="paragraph" w:customStyle="1" w:styleId="1a">
    <w:name w:val="Основной шрифт абзаца1"/>
    <w:link w:val="1b"/>
  </w:style>
  <w:style w:type="character" w:customStyle="1" w:styleId="1b">
    <w:name w:val="Основной шрифт абзаца1"/>
    <w:link w:val="1a"/>
  </w:style>
  <w:style w:type="character" w:customStyle="1" w:styleId="50">
    <w:name w:val="Заголовок 5 Знак"/>
    <w:link w:val="5"/>
    <w:rPr>
      <w:rFonts w:ascii="XO Thames" w:hAnsi="XO Thames"/>
      <w:b/>
      <w:sz w:val="22"/>
    </w:rPr>
  </w:style>
  <w:style w:type="character" w:customStyle="1" w:styleId="11">
    <w:name w:val="Заголовок 1 Знак"/>
    <w:basedOn w:val="1"/>
    <w:link w:val="10"/>
    <w:rPr>
      <w:rFonts w:ascii="Arial" w:hAnsi="Arial"/>
      <w:b/>
      <w:color w:val="26282F"/>
      <w:sz w:val="26"/>
    </w:rPr>
  </w:style>
  <w:style w:type="paragraph" w:customStyle="1" w:styleId="WW-Absatz-Standardschriftart">
    <w:name w:val="WW-Absatz-Standardschriftart"/>
    <w:link w:val="WW-Absatz-Standardschriftart0"/>
  </w:style>
  <w:style w:type="character" w:customStyle="1" w:styleId="WW-Absatz-Standardschriftart0">
    <w:name w:val="WW-Absatz-Standardschriftart"/>
    <w:link w:val="WW-Absatz-Standardschriftart"/>
  </w:style>
  <w:style w:type="paragraph" w:customStyle="1" w:styleId="1c">
    <w:name w:val="Гиперссылка1"/>
    <w:link w:val="afa"/>
    <w:rPr>
      <w:color w:val="0000FF"/>
      <w:u w:val="single"/>
    </w:rPr>
  </w:style>
  <w:style w:type="character" w:styleId="afa">
    <w:name w:val="Hyperlink"/>
    <w:link w:val="1c"/>
    <w:rPr>
      <w:color w:val="0000FF"/>
      <w:u w:val="single"/>
    </w:rPr>
  </w:style>
  <w:style w:type="paragraph" w:customStyle="1" w:styleId="Footnote">
    <w:name w:val="Footnote"/>
    <w:basedOn w:val="a"/>
    <w:link w:val="Footnote0"/>
    <w:rPr>
      <w:sz w:val="20"/>
    </w:rPr>
  </w:style>
  <w:style w:type="character" w:customStyle="1" w:styleId="Footnote0">
    <w:name w:val="Footnote"/>
    <w:basedOn w:val="1"/>
    <w:link w:val="Footnote"/>
    <w:rPr>
      <w:sz w:val="20"/>
    </w:rPr>
  </w:style>
  <w:style w:type="paragraph" w:styleId="1d">
    <w:name w:val="toc 1"/>
    <w:next w:val="a"/>
    <w:link w:val="1e"/>
    <w:uiPriority w:val="39"/>
    <w:rPr>
      <w:rFonts w:ascii="XO Thames" w:hAnsi="XO Thames"/>
      <w:b/>
      <w:sz w:val="28"/>
    </w:rPr>
  </w:style>
  <w:style w:type="character" w:customStyle="1" w:styleId="1e">
    <w:name w:val="Оглавление 1 Знак"/>
    <w:link w:val="1d"/>
    <w:rPr>
      <w:rFonts w:ascii="XO Thames" w:hAnsi="XO Thames"/>
      <w:b/>
      <w:sz w:val="28"/>
    </w:rPr>
  </w:style>
  <w:style w:type="paragraph" w:styleId="ac">
    <w:name w:val="Body Text"/>
    <w:basedOn w:val="a"/>
    <w:link w:val="ae"/>
    <w:pPr>
      <w:spacing w:after="120"/>
    </w:pPr>
  </w:style>
  <w:style w:type="character" w:customStyle="1" w:styleId="ae">
    <w:name w:val="Основной текст Знак"/>
    <w:basedOn w:val="1"/>
    <w:link w:val="ac"/>
    <w:rPr>
      <w:sz w:val="24"/>
    </w:rPr>
  </w:style>
  <w:style w:type="paragraph" w:customStyle="1" w:styleId="HeaderandFooter">
    <w:name w:val="Header and Footer"/>
    <w:link w:val="HeaderandFooter0"/>
    <w:pPr>
      <w:jc w:val="both"/>
    </w:pPr>
    <w:rPr>
      <w:rFonts w:ascii="XO Thames" w:hAnsi="XO Thames"/>
      <w:sz w:val="28"/>
    </w:rPr>
  </w:style>
  <w:style w:type="character" w:customStyle="1" w:styleId="HeaderandFooter0">
    <w:name w:val="Header and Footer"/>
    <w:link w:val="HeaderandFooter"/>
    <w:rPr>
      <w:rFonts w:ascii="XO Thames" w:hAnsi="XO Thames"/>
      <w:sz w:val="28"/>
    </w:rPr>
  </w:style>
  <w:style w:type="paragraph" w:customStyle="1" w:styleId="afb">
    <w:name w:val="Гипертекстовая ссылка"/>
    <w:link w:val="afc"/>
    <w:rPr>
      <w:color w:val="106BBE"/>
    </w:rPr>
  </w:style>
  <w:style w:type="character" w:customStyle="1" w:styleId="afc">
    <w:name w:val="Гипертекстовая ссылка"/>
    <w:link w:val="afb"/>
    <w:rPr>
      <w:b w:val="0"/>
      <w:color w:val="106BBE"/>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ConsNormal">
    <w:name w:val="ConsNormal"/>
    <w:link w:val="ConsNormal0"/>
    <w:pPr>
      <w:widowControl w:val="0"/>
      <w:ind w:right="19772" w:firstLine="720"/>
    </w:pPr>
    <w:rPr>
      <w:rFonts w:ascii="Arial" w:hAnsi="Arial"/>
    </w:rPr>
  </w:style>
  <w:style w:type="character" w:customStyle="1" w:styleId="ConsNormal0">
    <w:name w:val="ConsNormal"/>
    <w:link w:val="ConsNormal"/>
    <w:rPr>
      <w:rFonts w:ascii="Arial" w:hAnsi="Arial"/>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customStyle="1" w:styleId="1f">
    <w:name w:val="Название1"/>
    <w:basedOn w:val="a"/>
    <w:link w:val="1f0"/>
    <w:pPr>
      <w:spacing w:before="120" w:after="120"/>
    </w:pPr>
    <w:rPr>
      <w:rFonts w:ascii="Arial" w:hAnsi="Arial"/>
      <w:i/>
      <w:sz w:val="20"/>
    </w:rPr>
  </w:style>
  <w:style w:type="character" w:customStyle="1" w:styleId="1f0">
    <w:name w:val="Название1"/>
    <w:basedOn w:val="1"/>
    <w:link w:val="1f"/>
    <w:rPr>
      <w:rFonts w:ascii="Arial" w:hAnsi="Arial"/>
      <w:i/>
      <w:sz w:val="20"/>
    </w:rPr>
  </w:style>
  <w:style w:type="paragraph" w:customStyle="1" w:styleId="CharCharCharChar">
    <w:name w:val="Char Char Char Char"/>
    <w:basedOn w:val="a"/>
    <w:next w:val="a"/>
    <w:link w:val="CharCharCharChar0"/>
    <w:pPr>
      <w:spacing w:after="160" w:line="240" w:lineRule="exact"/>
    </w:pPr>
    <w:rPr>
      <w:rFonts w:ascii="Arial" w:hAnsi="Arial"/>
      <w:sz w:val="20"/>
    </w:rPr>
  </w:style>
  <w:style w:type="character" w:customStyle="1" w:styleId="CharCharCharChar0">
    <w:name w:val="Char Char Char Char"/>
    <w:basedOn w:val="1"/>
    <w:link w:val="CharCharCharChar"/>
    <w:rPr>
      <w:rFonts w:ascii="Arial" w:hAnsi="Arial"/>
      <w:sz w:val="20"/>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customStyle="1" w:styleId="23">
    <w:name w:val="Основной шрифт абзаца2"/>
  </w:style>
  <w:style w:type="paragraph" w:styleId="afd">
    <w:name w:val="List Paragraph"/>
    <w:basedOn w:val="a"/>
    <w:link w:val="afe"/>
    <w:pPr>
      <w:ind w:left="720"/>
      <w:contextualSpacing/>
    </w:pPr>
  </w:style>
  <w:style w:type="character" w:customStyle="1" w:styleId="afe">
    <w:name w:val="Абзац списка Знак"/>
    <w:basedOn w:val="1"/>
    <w:link w:val="afd"/>
    <w:rPr>
      <w:sz w:val="24"/>
    </w:rPr>
  </w:style>
  <w:style w:type="paragraph" w:styleId="aff">
    <w:name w:val="Subtitle"/>
    <w:next w:val="a"/>
    <w:link w:val="aff0"/>
    <w:uiPriority w:val="11"/>
    <w:qFormat/>
    <w:pPr>
      <w:jc w:val="both"/>
    </w:pPr>
    <w:rPr>
      <w:rFonts w:ascii="XO Thames" w:hAnsi="XO Thames"/>
      <w:i/>
      <w:sz w:val="24"/>
    </w:rPr>
  </w:style>
  <w:style w:type="character" w:customStyle="1" w:styleId="aff0">
    <w:name w:val="Подзаголовок Знак"/>
    <w:link w:val="aff"/>
    <w:rPr>
      <w:rFonts w:ascii="XO Thames" w:hAnsi="XO Thames"/>
      <w:i/>
      <w:sz w:val="24"/>
    </w:rPr>
  </w:style>
  <w:style w:type="paragraph" w:styleId="aff1">
    <w:name w:val="Body Text Indent"/>
    <w:basedOn w:val="a"/>
    <w:link w:val="aff2"/>
    <w:pPr>
      <w:spacing w:after="120"/>
      <w:ind w:left="283"/>
    </w:pPr>
  </w:style>
  <w:style w:type="character" w:customStyle="1" w:styleId="aff2">
    <w:name w:val="Основной текст с отступом Знак"/>
    <w:basedOn w:val="1"/>
    <w:link w:val="aff1"/>
    <w:rPr>
      <w:sz w:val="24"/>
    </w:rPr>
  </w:style>
  <w:style w:type="paragraph" w:styleId="aff3">
    <w:name w:val="List"/>
    <w:basedOn w:val="ac"/>
    <w:link w:val="aff4"/>
    <w:rPr>
      <w:rFonts w:ascii="Arial" w:hAnsi="Arial"/>
    </w:rPr>
  </w:style>
  <w:style w:type="character" w:customStyle="1" w:styleId="aff4">
    <w:name w:val="Список Знак"/>
    <w:basedOn w:val="ae"/>
    <w:link w:val="aff3"/>
    <w:rPr>
      <w:rFonts w:ascii="Arial" w:hAnsi="Arial"/>
      <w:sz w:val="24"/>
    </w:rPr>
  </w:style>
  <w:style w:type="paragraph" w:styleId="aff5">
    <w:name w:val="Title"/>
    <w:basedOn w:val="a"/>
    <w:next w:val="ac"/>
    <w:link w:val="aff6"/>
    <w:uiPriority w:val="10"/>
    <w:qFormat/>
    <w:pPr>
      <w:keepNext/>
      <w:spacing w:before="240" w:after="120"/>
    </w:pPr>
    <w:rPr>
      <w:rFonts w:ascii="Arial" w:hAnsi="Arial"/>
      <w:sz w:val="28"/>
    </w:rPr>
  </w:style>
  <w:style w:type="character" w:customStyle="1" w:styleId="aff6">
    <w:name w:val="Заголовок Знак"/>
    <w:basedOn w:val="1"/>
    <w:link w:val="aff5"/>
    <w:rPr>
      <w:rFonts w:ascii="Arial" w:hAnsi="Arial"/>
      <w:sz w:val="28"/>
    </w:rPr>
  </w:style>
  <w:style w:type="character" w:customStyle="1" w:styleId="40">
    <w:name w:val="Заголовок 4 Знак"/>
    <w:link w:val="4"/>
    <w:rPr>
      <w:rFonts w:ascii="XO Thames" w:hAnsi="XO Thames"/>
      <w:b/>
      <w:sz w:val="24"/>
    </w:rPr>
  </w:style>
  <w:style w:type="paragraph" w:customStyle="1" w:styleId="1f1">
    <w:name w:val="Указатель1"/>
    <w:basedOn w:val="a"/>
    <w:link w:val="1f2"/>
    <w:rPr>
      <w:rFonts w:ascii="Arial" w:hAnsi="Arial"/>
    </w:rPr>
  </w:style>
  <w:style w:type="character" w:customStyle="1" w:styleId="1f2">
    <w:name w:val="Указатель1"/>
    <w:basedOn w:val="1"/>
    <w:link w:val="1f1"/>
    <w:rPr>
      <w:rFonts w:ascii="Arial" w:hAnsi="Arial"/>
      <w:sz w:val="24"/>
    </w:rPr>
  </w:style>
  <w:style w:type="character" w:customStyle="1" w:styleId="20">
    <w:name w:val="Заголовок 2 Знак"/>
    <w:link w:val="2"/>
    <w:rPr>
      <w:rFonts w:ascii="XO Thames" w:hAnsi="XO Thames"/>
      <w:b/>
      <w:sz w:val="28"/>
    </w:rPr>
  </w:style>
  <w:style w:type="table" w:styleId="aff7">
    <w:name w:val="Table Grid"/>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562</Words>
  <Characters>3206</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Раменский Константин Александрович</cp:lastModifiedBy>
  <cp:revision>4</cp:revision>
  <cp:lastPrinted>2025-12-12T13:36:00Z</cp:lastPrinted>
  <dcterms:created xsi:type="dcterms:W3CDTF">2025-12-11T11:48:00Z</dcterms:created>
  <dcterms:modified xsi:type="dcterms:W3CDTF">2025-12-15T09:14:00Z</dcterms:modified>
</cp:coreProperties>
</file>